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895C" w14:textId="27993D6E" w:rsidR="007061B3" w:rsidRPr="00527582" w:rsidRDefault="009808E7" w:rsidP="004E20A6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center"/>
        <w:rPr>
          <w:rStyle w:val="Aucun"/>
          <w:rFonts w:ascii="Times Roman" w:eastAsia="Times Roman" w:hAnsi="Times Roman" w:cs="Times Roman"/>
          <w:b/>
          <w:bCs/>
          <w:sz w:val="28"/>
          <w:szCs w:val="28"/>
          <w:shd w:val="clear" w:color="auto" w:fill="FFFFFF"/>
        </w:rPr>
      </w:pPr>
      <w:r w:rsidRPr="00527582">
        <w:rPr>
          <w:rStyle w:val="Aucun"/>
          <w:rFonts w:ascii="Times Roman" w:hAnsi="Times Roman" w:hint="eastAsia"/>
          <w:b/>
          <w:bCs/>
          <w:sz w:val="28"/>
          <w:szCs w:val="28"/>
          <w:shd w:val="clear" w:color="auto" w:fill="FFFFFF"/>
        </w:rPr>
        <w:t>Journée d</w:t>
      </w:r>
      <w:r w:rsidRPr="00527582">
        <w:rPr>
          <w:rStyle w:val="Aucun"/>
          <w:rFonts w:ascii="Times Roman" w:hAnsi="Times Roman" w:hint="eastAsia"/>
          <w:b/>
          <w:bCs/>
          <w:sz w:val="28"/>
          <w:szCs w:val="28"/>
          <w:shd w:val="clear" w:color="auto" w:fill="FFFFFF"/>
        </w:rPr>
        <w:t>’</w:t>
      </w:r>
      <w:r w:rsidRPr="00527582">
        <w:rPr>
          <w:rStyle w:val="Aucun"/>
          <w:rFonts w:ascii="Times Roman" w:hAnsi="Times Roman" w:hint="eastAsia"/>
          <w:b/>
          <w:bCs/>
          <w:sz w:val="28"/>
          <w:szCs w:val="28"/>
          <w:shd w:val="clear" w:color="auto" w:fill="FFFFFF"/>
        </w:rPr>
        <w:t>études de l</w:t>
      </w:r>
      <w:r w:rsidRPr="00527582">
        <w:rPr>
          <w:rStyle w:val="Aucun"/>
          <w:rFonts w:ascii="Times Roman" w:hAnsi="Times Roman" w:hint="eastAsia"/>
          <w:b/>
          <w:bCs/>
          <w:sz w:val="28"/>
          <w:szCs w:val="28"/>
          <w:shd w:val="clear" w:color="auto" w:fill="FFFFFF"/>
        </w:rPr>
        <w:t>’</w:t>
      </w:r>
      <w:r w:rsidRPr="00527582">
        <w:rPr>
          <w:rStyle w:val="Aucun"/>
          <w:rFonts w:ascii="Times Roman" w:hAnsi="Times Roman" w:hint="eastAsia"/>
          <w:b/>
          <w:bCs/>
          <w:sz w:val="28"/>
          <w:szCs w:val="28"/>
          <w:shd w:val="clear" w:color="auto" w:fill="FFFFFF"/>
        </w:rPr>
        <w:t>équipe</w:t>
      </w:r>
    </w:p>
    <w:p w14:paraId="1A1B895D" w14:textId="77777777" w:rsidR="007061B3" w:rsidRPr="00527582" w:rsidRDefault="009808E7" w:rsidP="004C7A11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center"/>
        <w:rPr>
          <w:rStyle w:val="Aucun"/>
          <w:rFonts w:ascii="Times Roman" w:eastAsia="Times Roman" w:hAnsi="Times Roman" w:cs="Times Roman"/>
          <w:b/>
          <w:bCs/>
          <w:sz w:val="28"/>
          <w:szCs w:val="28"/>
          <w:shd w:val="clear" w:color="auto" w:fill="FFFFFF"/>
        </w:rPr>
      </w:pPr>
      <w:r w:rsidRPr="00527582">
        <w:rPr>
          <w:rStyle w:val="Aucun"/>
          <w:rFonts w:ascii="Times Roman" w:hAnsi="Times Roman" w:hint="eastAsia"/>
          <w:b/>
          <w:bCs/>
          <w:sz w:val="28"/>
          <w:szCs w:val="28"/>
          <w:shd w:val="clear" w:color="auto" w:fill="FFFFFF"/>
        </w:rPr>
        <w:t>Savoir, rapport au savoir et processus de transmission</w:t>
      </w:r>
    </w:p>
    <w:p w14:paraId="1A1B895E" w14:textId="77777777" w:rsidR="007061B3" w:rsidRPr="004E20A6" w:rsidRDefault="009808E7" w:rsidP="004C7A11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center"/>
        <w:rPr>
          <w:rStyle w:val="Aucun"/>
          <w:rFonts w:ascii="Times Roman" w:eastAsia="Times Roman" w:hAnsi="Times Roman" w:cs="Times Roman"/>
          <w:shd w:val="clear" w:color="auto" w:fill="FFFFFF"/>
        </w:rPr>
      </w:pPr>
      <w:r w:rsidRPr="004E20A6">
        <w:rPr>
          <w:rStyle w:val="Aucun"/>
          <w:rFonts w:ascii="Times Roman" w:hAnsi="Times Roman"/>
          <w:shd w:val="clear" w:color="auto" w:fill="FFFFFF"/>
        </w:rPr>
        <w:t>22 mars 2025 - 10h-17h</w:t>
      </w:r>
    </w:p>
    <w:p w14:paraId="1A1B895F" w14:textId="77777777" w:rsidR="007061B3" w:rsidRPr="004E20A6" w:rsidRDefault="009808E7" w:rsidP="004C7A11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center"/>
        <w:rPr>
          <w:rStyle w:val="Aucun"/>
          <w:rFonts w:ascii="Times Roman" w:eastAsia="Times Roman" w:hAnsi="Times Roman" w:cs="Times Roman"/>
          <w:shd w:val="clear" w:color="auto" w:fill="FFFFFF"/>
        </w:rPr>
      </w:pPr>
      <w:r w:rsidRPr="004E20A6">
        <w:rPr>
          <w:rStyle w:val="Aucun"/>
          <w:rFonts w:ascii="Times Roman" w:hAnsi="Times Roman"/>
          <w:shd w:val="clear" w:color="auto" w:fill="FFFFFF"/>
        </w:rPr>
        <w:t>Salle C102</w:t>
      </w:r>
    </w:p>
    <w:p w14:paraId="1A1B8960" w14:textId="77777777" w:rsidR="007061B3" w:rsidRPr="004C7A11" w:rsidRDefault="007061B3" w:rsidP="004C7A11">
      <w:pPr>
        <w:pStyle w:val="Corps"/>
        <w:jc w:val="center"/>
        <w:rPr>
          <w:rFonts w:ascii="Times Roman" w:eastAsia="Times Roman" w:hAnsi="Times Roman" w:cs="Times Roman"/>
          <w:sz w:val="24"/>
          <w:szCs w:val="24"/>
        </w:rPr>
      </w:pPr>
    </w:p>
    <w:p w14:paraId="1A1B8961" w14:textId="5DAFDA32" w:rsidR="007061B3" w:rsidRPr="004C7A11" w:rsidRDefault="00AC483B" w:rsidP="004C7A11">
      <w:pPr>
        <w:pStyle w:val="Corps"/>
        <w:jc w:val="center"/>
        <w:rPr>
          <w:rFonts w:ascii="Times Roman" w:eastAsia="Times Roman" w:hAnsi="Times Roman" w:cs="Times Roman"/>
          <w:sz w:val="24"/>
          <w:szCs w:val="24"/>
        </w:rPr>
      </w:pPr>
      <w:r>
        <w:rPr>
          <w:rStyle w:val="Aucun"/>
          <w:rFonts w:ascii="Times Roman" w:hAnsi="Times Roman"/>
          <w:sz w:val="24"/>
          <w:szCs w:val="24"/>
          <w:shd w:val="clear" w:color="auto" w:fill="FFFFFF"/>
        </w:rPr>
        <w:t xml:space="preserve">(Journée ouverte aux </w:t>
      </w:r>
      <w:proofErr w:type="spellStart"/>
      <w:r>
        <w:rPr>
          <w:rStyle w:val="Aucun"/>
          <w:rFonts w:ascii="Times Roman" w:hAnsi="Times Roman"/>
          <w:sz w:val="24"/>
          <w:szCs w:val="24"/>
          <w:shd w:val="clear" w:color="auto" w:fill="FFFFFF"/>
        </w:rPr>
        <w:t>étudiant.</w:t>
      </w:r>
      <w:proofErr w:type="gramStart"/>
      <w:r>
        <w:rPr>
          <w:rStyle w:val="Aucun"/>
          <w:rFonts w:ascii="Times Roman" w:hAnsi="Times Roman"/>
          <w:sz w:val="24"/>
          <w:szCs w:val="24"/>
          <w:shd w:val="clear" w:color="auto" w:fill="FFFFFF"/>
        </w:rPr>
        <w:t>e.s</w:t>
      </w:r>
      <w:proofErr w:type="spellEnd"/>
      <w:proofErr w:type="gramEnd"/>
      <w:r>
        <w:rPr>
          <w:rStyle w:val="Aucun"/>
          <w:rFonts w:ascii="Times Roman" w:hAnsi="Times Roman"/>
          <w:sz w:val="24"/>
          <w:szCs w:val="24"/>
          <w:shd w:val="clear" w:color="auto" w:fill="FFFFFF"/>
        </w:rPr>
        <w:t xml:space="preserve"> de M2 dans le cadre de l’EC « </w:t>
      </w:r>
      <w:r w:rsidR="004C7A11" w:rsidRPr="004C7A11">
        <w:rPr>
          <w:rStyle w:val="Aucun"/>
          <w:rFonts w:ascii="Times Roman" w:hAnsi="Times Roman"/>
          <w:sz w:val="24"/>
          <w:szCs w:val="24"/>
          <w:shd w:val="clear" w:color="auto" w:fill="FFFFFF"/>
        </w:rPr>
        <w:t>Diversité des Sciences de l’Education M2</w:t>
      </w:r>
      <w:r>
        <w:rPr>
          <w:rStyle w:val="Aucun"/>
          <w:rFonts w:ascii="Times Roman" w:hAnsi="Times Roman"/>
          <w:sz w:val="24"/>
          <w:szCs w:val="24"/>
          <w:shd w:val="clear" w:color="auto" w:fill="FFFFFF"/>
        </w:rPr>
        <w:t> »)</w:t>
      </w:r>
    </w:p>
    <w:p w14:paraId="1A1B8962" w14:textId="77777777" w:rsidR="007061B3" w:rsidRDefault="007061B3">
      <w:pPr>
        <w:pStyle w:val="Corps"/>
        <w:jc w:val="both"/>
        <w:rPr>
          <w:rFonts w:ascii="Times Roman" w:eastAsia="Times Roman" w:hAnsi="Times Roman" w:cs="Times Roman"/>
          <w:sz w:val="24"/>
          <w:szCs w:val="24"/>
        </w:rPr>
      </w:pPr>
    </w:p>
    <w:p w14:paraId="1A1B8963" w14:textId="77777777" w:rsidR="007061B3" w:rsidRDefault="009808E7">
      <w:pPr>
        <w:pStyle w:val="Pardfaut"/>
        <w:suppressAutoHyphens/>
        <w:spacing w:before="0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Faire de la recherche sur un terrain « </w:t>
      </w:r>
      <w:r>
        <w:rPr>
          <w:rFonts w:ascii="Times Roman" w:hAnsi="Times Roman"/>
          <w:b/>
          <w:bCs/>
          <w:sz w:val="28"/>
          <w:szCs w:val="28"/>
          <w:lang w:val="da-DK"/>
        </w:rPr>
        <w:t>familier</w:t>
      </w:r>
      <w:r>
        <w:rPr>
          <w:rFonts w:ascii="Times Roman" w:hAnsi="Times Roman"/>
          <w:b/>
          <w:bCs/>
          <w:sz w:val="28"/>
          <w:szCs w:val="28"/>
          <w:lang w:val="it-IT"/>
        </w:rPr>
        <w:t xml:space="preserve"> » </w:t>
      </w:r>
      <w:r>
        <w:rPr>
          <w:rFonts w:ascii="Times Roman" w:hAnsi="Times Roman"/>
          <w:b/>
          <w:bCs/>
          <w:sz w:val="28"/>
          <w:szCs w:val="28"/>
        </w:rPr>
        <w:t>et la diffuser : croisements d</w:t>
      </w:r>
      <w:r>
        <w:rPr>
          <w:rFonts w:ascii="Times Roman" w:hAnsi="Times Roman"/>
          <w:b/>
          <w:bCs/>
          <w:sz w:val="28"/>
          <w:szCs w:val="28"/>
          <w:rtl/>
        </w:rPr>
        <w:t>’</w:t>
      </w:r>
      <w:r>
        <w:rPr>
          <w:rFonts w:ascii="Times Roman" w:hAnsi="Times Roman"/>
          <w:b/>
          <w:bCs/>
          <w:sz w:val="28"/>
          <w:szCs w:val="28"/>
        </w:rPr>
        <w:t xml:space="preserve">espaces psychiques et rencontres </w:t>
      </w:r>
      <w:proofErr w:type="gramStart"/>
      <w:r>
        <w:rPr>
          <w:rFonts w:ascii="Times Roman" w:hAnsi="Times Roman"/>
          <w:b/>
          <w:bCs/>
          <w:sz w:val="28"/>
          <w:szCs w:val="28"/>
        </w:rPr>
        <w:t>d</w:t>
      </w:r>
      <w:r>
        <w:rPr>
          <w:rFonts w:ascii="Times Roman" w:hAnsi="Times Roman"/>
          <w:b/>
          <w:bCs/>
          <w:sz w:val="28"/>
          <w:szCs w:val="28"/>
          <w:rtl/>
        </w:rPr>
        <w:t>’</w:t>
      </w:r>
      <w:proofErr w:type="spellStart"/>
      <w:r>
        <w:rPr>
          <w:rFonts w:ascii="Times Roman" w:hAnsi="Times Roman"/>
          <w:b/>
          <w:bCs/>
          <w:sz w:val="28"/>
          <w:szCs w:val="28"/>
        </w:rPr>
        <w:t>acteur.trices</w:t>
      </w:r>
      <w:proofErr w:type="spellEnd"/>
      <w:proofErr w:type="gramEnd"/>
    </w:p>
    <w:p w14:paraId="1A1B8964" w14:textId="77777777" w:rsidR="007061B3" w:rsidRDefault="007061B3">
      <w:pPr>
        <w:pStyle w:val="Corps"/>
        <w:jc w:val="both"/>
        <w:rPr>
          <w:rFonts w:ascii="Times Roman" w:eastAsia="Times Roman" w:hAnsi="Times Roman" w:cs="Times Roman"/>
          <w:sz w:val="24"/>
          <w:szCs w:val="24"/>
        </w:rPr>
      </w:pPr>
    </w:p>
    <w:p w14:paraId="1A1B8965" w14:textId="77777777" w:rsidR="007061B3" w:rsidRDefault="009808E7">
      <w:pPr>
        <w:pStyle w:val="Corps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Coordination : </w:t>
      </w:r>
    </w:p>
    <w:p w14:paraId="1A1B8966" w14:textId="2D03867E" w:rsidR="007061B3" w:rsidRDefault="009808E7">
      <w:pPr>
        <w:pStyle w:val="Corps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David FAURE, </w:t>
      </w:r>
      <w:proofErr w:type="spellStart"/>
      <w:r>
        <w:rPr>
          <w:rFonts w:ascii="Times Roman" w:hAnsi="Times Roman"/>
          <w:sz w:val="24"/>
          <w:szCs w:val="24"/>
        </w:rPr>
        <w:t>co</w:t>
      </w:r>
      <w:proofErr w:type="spellEnd"/>
      <w:r>
        <w:rPr>
          <w:rFonts w:ascii="Times Roman" w:hAnsi="Times Roman"/>
          <w:sz w:val="24"/>
          <w:szCs w:val="24"/>
        </w:rPr>
        <w:t xml:space="preserve">-resp. </w:t>
      </w:r>
      <w:proofErr w:type="gramStart"/>
      <w:r>
        <w:rPr>
          <w:rFonts w:ascii="Times Roman" w:hAnsi="Times Roman"/>
          <w:sz w:val="24"/>
          <w:szCs w:val="24"/>
        </w:rPr>
        <w:t>pédagogique</w:t>
      </w:r>
      <w:proofErr w:type="gramEnd"/>
      <w:r>
        <w:rPr>
          <w:rFonts w:ascii="Times Roman" w:hAnsi="Times Roman"/>
          <w:sz w:val="24"/>
          <w:szCs w:val="24"/>
        </w:rPr>
        <w:t xml:space="preserve"> du M1 parcours </w:t>
      </w:r>
      <w:proofErr w:type="spellStart"/>
      <w:r>
        <w:rPr>
          <w:rFonts w:ascii="Times Roman" w:hAnsi="Times Roman"/>
          <w:sz w:val="24"/>
          <w:szCs w:val="24"/>
        </w:rPr>
        <w:t>Clifo</w:t>
      </w:r>
      <w:proofErr w:type="spellEnd"/>
      <w:r w:rsidR="00AC483B">
        <w:rPr>
          <w:rFonts w:ascii="Times Roman" w:hAnsi="Times Roman"/>
          <w:sz w:val="24"/>
          <w:szCs w:val="24"/>
        </w:rPr>
        <w:t xml:space="preserve"> dfaure@parisnanterre.fr</w:t>
      </w:r>
    </w:p>
    <w:p w14:paraId="1A1B8967" w14:textId="674F233A" w:rsidR="007061B3" w:rsidRDefault="009808E7">
      <w:pPr>
        <w:pStyle w:val="Corps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Françoise HATCHUEL, resp. </w:t>
      </w:r>
      <w:proofErr w:type="gramStart"/>
      <w:r>
        <w:rPr>
          <w:rFonts w:ascii="Times Roman" w:hAnsi="Times Roman"/>
          <w:sz w:val="24"/>
          <w:szCs w:val="24"/>
        </w:rPr>
        <w:t>du</w:t>
      </w:r>
      <w:proofErr w:type="gramEnd"/>
      <w:r>
        <w:rPr>
          <w:rFonts w:ascii="Times Roman" w:hAnsi="Times Roman"/>
          <w:sz w:val="24"/>
          <w:szCs w:val="24"/>
        </w:rPr>
        <w:t xml:space="preserve"> Master 2 CLIFO et resp. </w:t>
      </w:r>
      <w:proofErr w:type="gramStart"/>
      <w:r>
        <w:rPr>
          <w:rFonts w:ascii="Times Roman" w:hAnsi="Times Roman"/>
          <w:sz w:val="24"/>
          <w:szCs w:val="24"/>
        </w:rPr>
        <w:t>scientifique</w:t>
      </w:r>
      <w:proofErr w:type="gramEnd"/>
      <w:r>
        <w:rPr>
          <w:rFonts w:ascii="Times Roman" w:hAnsi="Times Roman"/>
          <w:sz w:val="24"/>
          <w:szCs w:val="24"/>
        </w:rPr>
        <w:t xml:space="preserve"> équipe Savoir, rapport au savoir et processus de transmission (SRSPT)</w:t>
      </w:r>
      <w:r w:rsidR="00AC483B">
        <w:rPr>
          <w:rFonts w:ascii="Times Roman" w:hAnsi="Times Roman"/>
          <w:sz w:val="24"/>
          <w:szCs w:val="24"/>
        </w:rPr>
        <w:t xml:space="preserve"> fhatchuel@orange.fr</w:t>
      </w:r>
    </w:p>
    <w:p w14:paraId="1A1B8968" w14:textId="77777777" w:rsidR="007061B3" w:rsidRDefault="007061B3">
      <w:pPr>
        <w:pStyle w:val="Corps"/>
        <w:jc w:val="both"/>
        <w:rPr>
          <w:rFonts w:ascii="Times Roman" w:eastAsia="Times Roman" w:hAnsi="Times Roman" w:cs="Times Roman"/>
          <w:sz w:val="24"/>
          <w:szCs w:val="24"/>
        </w:rPr>
      </w:pPr>
    </w:p>
    <w:p w14:paraId="63DA2CE0" w14:textId="77777777" w:rsidR="004E20A6" w:rsidRDefault="004E20A6">
      <w:pPr>
        <w:pStyle w:val="Corps"/>
        <w:jc w:val="both"/>
        <w:rPr>
          <w:rFonts w:ascii="Times Roman" w:eastAsia="Times Roman" w:hAnsi="Times Roman" w:cs="Times Roman"/>
          <w:sz w:val="24"/>
          <w:szCs w:val="24"/>
        </w:rPr>
      </w:pPr>
    </w:p>
    <w:p w14:paraId="1A1B8969" w14:textId="606F8C37" w:rsidR="007061B3" w:rsidRDefault="009808E7">
      <w:pPr>
        <w:pStyle w:val="Corps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La recherche clinique d’orientation psychanalytique en sciences de l’éducation s’appuie sur l’implication subjective pour explorer les questions contemporaines dans l’intrication du psychique et du social. En s’écartant de l’</w:t>
      </w:r>
      <w:r>
        <w:rPr>
          <w:rStyle w:val="Aucun"/>
          <w:rFonts w:ascii="Times Roman" w:hAnsi="Times Roman"/>
          <w:i/>
          <w:iCs/>
          <w:sz w:val="24"/>
          <w:szCs w:val="24"/>
        </w:rPr>
        <w:t>a priori</w:t>
      </w:r>
      <w:r>
        <w:rPr>
          <w:rFonts w:ascii="Times Roman" w:hAnsi="Times Roman"/>
          <w:sz w:val="24"/>
          <w:szCs w:val="24"/>
        </w:rPr>
        <w:t xml:space="preserve"> méthodologique d’extériorité comme seule voie de l’objectivation, elle ne fait pas de la distance au terrain un préalable, au contraire « faire de la recherche clinique », c</w:t>
      </w:r>
      <w:r>
        <w:rPr>
          <w:rFonts w:ascii="Times Roman" w:hAnsi="Times Roman"/>
          <w:sz w:val="24"/>
          <w:szCs w:val="24"/>
          <w:rtl/>
        </w:rPr>
        <w:t>’</w:t>
      </w:r>
      <w:r>
        <w:rPr>
          <w:rFonts w:ascii="Times Roman" w:hAnsi="Times Roman"/>
          <w:sz w:val="24"/>
          <w:szCs w:val="24"/>
        </w:rPr>
        <w:t>est se questionner sur ce qui se passe pour nous et tenter d</w:t>
      </w:r>
      <w:r>
        <w:rPr>
          <w:rFonts w:ascii="Times Roman" w:hAnsi="Times Roman"/>
          <w:sz w:val="24"/>
          <w:szCs w:val="24"/>
          <w:rtl/>
        </w:rPr>
        <w:t>’</w:t>
      </w:r>
      <w:r>
        <w:rPr>
          <w:rFonts w:ascii="Times Roman" w:hAnsi="Times Roman"/>
          <w:sz w:val="24"/>
          <w:szCs w:val="24"/>
        </w:rPr>
        <w:t xml:space="preserve">en restituer quelque chose à </w:t>
      </w:r>
      <w:r>
        <w:rPr>
          <w:rFonts w:ascii="Times Roman" w:hAnsi="Times Roman"/>
          <w:sz w:val="24"/>
          <w:szCs w:val="24"/>
          <w:lang w:val="pt-PT"/>
        </w:rPr>
        <w:t>partir de v</w:t>
      </w:r>
      <w:r>
        <w:rPr>
          <w:rFonts w:ascii="Times Roman" w:hAnsi="Times Roman"/>
          <w:sz w:val="24"/>
          <w:szCs w:val="24"/>
        </w:rPr>
        <w:t xml:space="preserve">écus personnels et des résonances subjectives au contact de ce qui est intériorisé par le ou la </w:t>
      </w:r>
      <w:proofErr w:type="spellStart"/>
      <w:proofErr w:type="gramStart"/>
      <w:r>
        <w:rPr>
          <w:rFonts w:ascii="Times Roman" w:hAnsi="Times Roman"/>
          <w:sz w:val="24"/>
          <w:szCs w:val="24"/>
        </w:rPr>
        <w:t>chercheur.e</w:t>
      </w:r>
      <w:proofErr w:type="spellEnd"/>
      <w:proofErr w:type="gramEnd"/>
      <w:r>
        <w:rPr>
          <w:rFonts w:ascii="Times Roman" w:hAnsi="Times Roman"/>
          <w:sz w:val="24"/>
          <w:szCs w:val="24"/>
        </w:rPr>
        <w:t xml:space="preserve"> (Devereux, 1994). Ainsi le « familier » peut devenir un champ d’exploration légitime. Cette démarche ouvre </w:t>
      </w:r>
      <w:proofErr w:type="spellStart"/>
      <w:r>
        <w:rPr>
          <w:rFonts w:ascii="Times Roman" w:hAnsi="Times Roman"/>
          <w:sz w:val="24"/>
          <w:szCs w:val="24"/>
        </w:rPr>
        <w:t>par là</w:t>
      </w:r>
      <w:proofErr w:type="spellEnd"/>
      <w:r>
        <w:rPr>
          <w:rFonts w:ascii="Times Roman" w:hAnsi="Times Roman"/>
          <w:sz w:val="24"/>
          <w:szCs w:val="24"/>
        </w:rPr>
        <w:t xml:space="preserve"> cependant un champ de questionnement méthodologique liées aux difficultés spécifiques de cette posture à différents moments du processus de recherche : la construction de la posture de recherche, mais aussi le processus d’élaboration à partir du matériel issu de </w:t>
      </w:r>
      <w:proofErr w:type="gramStart"/>
      <w:r>
        <w:rPr>
          <w:rFonts w:ascii="Times Roman" w:hAnsi="Times Roman"/>
          <w:sz w:val="24"/>
          <w:szCs w:val="24"/>
        </w:rPr>
        <w:t>l’éprouvé</w:t>
      </w:r>
      <w:proofErr w:type="gramEnd"/>
      <w:r>
        <w:rPr>
          <w:rFonts w:ascii="Times Roman" w:hAnsi="Times Roman"/>
          <w:sz w:val="24"/>
          <w:szCs w:val="24"/>
        </w:rPr>
        <w:t xml:space="preserve"> en situation jusqu’à la formulation et la diffusion de résultats de recherche. Ce processus peut être regardé</w:t>
      </w:r>
      <w:r w:rsidR="009D526C">
        <w:rPr>
          <w:rFonts w:ascii="Times Roman" w:hAnsi="Times Roman"/>
          <w:sz w:val="24"/>
          <w:szCs w:val="24"/>
        </w:rPr>
        <w:t xml:space="preserve"> comme</w:t>
      </w:r>
      <w:r>
        <w:rPr>
          <w:rFonts w:ascii="Times Roman" w:hAnsi="Times Roman"/>
          <w:sz w:val="24"/>
          <w:szCs w:val="24"/>
        </w:rPr>
        <w:t xml:space="preserve"> une succession de transformations des contenus psychiques qui met en lien une forme (orale, écrite, ou d’autres formes suivant les médiations utilisées : dessin, jeu théâtral) et un contenant groupal et institutionnel (Bion, 1982, 1974) dans un processus de pensée où la relation, réelle et fantasmatique, au</w:t>
      </w:r>
      <w:r w:rsidR="009D526C">
        <w:rPr>
          <w:rFonts w:ascii="Times Roman" w:hAnsi="Times Roman"/>
          <w:sz w:val="24"/>
          <w:szCs w:val="24"/>
        </w:rPr>
        <w:t>(x)</w:t>
      </w:r>
      <w:r>
        <w:rPr>
          <w:rFonts w:ascii="Times Roman" w:hAnsi="Times Roman"/>
          <w:sz w:val="24"/>
          <w:szCs w:val="24"/>
        </w:rPr>
        <w:t xml:space="preserve"> destinataire(s) joue un rôle central. </w:t>
      </w:r>
    </w:p>
    <w:p w14:paraId="1A1B896A" w14:textId="77777777" w:rsidR="007061B3" w:rsidRDefault="007061B3">
      <w:pPr>
        <w:pStyle w:val="Corps"/>
        <w:jc w:val="both"/>
        <w:rPr>
          <w:rFonts w:ascii="Times Roman" w:eastAsia="Times Roman" w:hAnsi="Times Roman" w:cs="Times Roman"/>
          <w:sz w:val="24"/>
          <w:szCs w:val="24"/>
        </w:rPr>
      </w:pPr>
    </w:p>
    <w:p w14:paraId="1A1B896B" w14:textId="77777777" w:rsidR="007061B3" w:rsidRDefault="009808E7">
      <w:pPr>
        <w:pStyle w:val="Corps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Ainsi, cette journée d’études vise à mieux comprendre comment le chercheur ou la chercheuse peut faire avec un « terrain</w:t>
      </w:r>
      <w:r>
        <w:rPr>
          <w:rFonts w:ascii="Times Roman" w:hAnsi="Times Roman"/>
          <w:sz w:val="24"/>
          <w:szCs w:val="24"/>
          <w:lang w:val="it-IT"/>
        </w:rPr>
        <w:t xml:space="preserve"> » </w:t>
      </w:r>
      <w:r>
        <w:rPr>
          <w:rFonts w:ascii="Times Roman" w:hAnsi="Times Roman"/>
          <w:sz w:val="24"/>
          <w:szCs w:val="24"/>
        </w:rPr>
        <w:t xml:space="preserve">avec lequel il ou elle est </w:t>
      </w:r>
      <w:proofErr w:type="spellStart"/>
      <w:proofErr w:type="gramStart"/>
      <w:r>
        <w:rPr>
          <w:rFonts w:ascii="Times Roman" w:hAnsi="Times Roman"/>
          <w:sz w:val="24"/>
          <w:szCs w:val="24"/>
        </w:rPr>
        <w:t>impliqué.e</w:t>
      </w:r>
      <w:proofErr w:type="spellEnd"/>
      <w:proofErr w:type="gramEnd"/>
      <w:r>
        <w:rPr>
          <w:rFonts w:ascii="Times Roman" w:hAnsi="Times Roman"/>
          <w:sz w:val="24"/>
          <w:szCs w:val="24"/>
        </w:rPr>
        <w:t xml:space="preserve"> par ailleurs, </w:t>
      </w:r>
      <w:proofErr w:type="spellStart"/>
      <w:r>
        <w:rPr>
          <w:rFonts w:ascii="Times Roman" w:hAnsi="Times Roman"/>
          <w:sz w:val="24"/>
          <w:szCs w:val="24"/>
        </w:rPr>
        <w:t>qu</w:t>
      </w:r>
      <w:proofErr w:type="spellEnd"/>
      <w:r>
        <w:rPr>
          <w:rFonts w:ascii="Times Roman" w:hAnsi="Times Roman"/>
          <w:sz w:val="24"/>
          <w:szCs w:val="24"/>
          <w:rtl/>
        </w:rPr>
        <w:t>’</w:t>
      </w:r>
      <w:r>
        <w:rPr>
          <w:rFonts w:ascii="Times Roman" w:hAnsi="Times Roman"/>
          <w:sz w:val="24"/>
          <w:szCs w:val="24"/>
          <w:lang w:val="it-IT"/>
        </w:rPr>
        <w:t>il s</w:t>
      </w:r>
      <w:r>
        <w:rPr>
          <w:rFonts w:ascii="Times Roman" w:hAnsi="Times Roman"/>
          <w:sz w:val="24"/>
          <w:szCs w:val="24"/>
          <w:rtl/>
        </w:rPr>
        <w:t>’</w:t>
      </w:r>
      <w:r>
        <w:rPr>
          <w:rFonts w:ascii="Times Roman" w:hAnsi="Times Roman"/>
          <w:sz w:val="24"/>
          <w:szCs w:val="24"/>
        </w:rPr>
        <w:t>agisse du terrain de sa pratique professionnelle ou d</w:t>
      </w:r>
      <w:r>
        <w:rPr>
          <w:rFonts w:ascii="Times Roman" w:hAnsi="Times Roman"/>
          <w:sz w:val="24"/>
          <w:szCs w:val="24"/>
          <w:rtl/>
        </w:rPr>
        <w:t>’</w:t>
      </w:r>
      <w:r>
        <w:rPr>
          <w:rFonts w:ascii="Times Roman" w:hAnsi="Times Roman"/>
          <w:sz w:val="24"/>
          <w:szCs w:val="24"/>
        </w:rPr>
        <w:t>un travail sur des éléments familiaux ou personnels. Il s</w:t>
      </w:r>
      <w:r>
        <w:rPr>
          <w:rFonts w:ascii="Times Roman" w:hAnsi="Times Roman"/>
          <w:sz w:val="24"/>
          <w:szCs w:val="24"/>
          <w:rtl/>
        </w:rPr>
        <w:t>’</w:t>
      </w:r>
      <w:r>
        <w:rPr>
          <w:rFonts w:ascii="Times Roman" w:hAnsi="Times Roman"/>
          <w:sz w:val="24"/>
          <w:szCs w:val="24"/>
        </w:rPr>
        <w:t>agira alors à la fois de comprendre comment sont produits les savoirs et de quels savoirs il s</w:t>
      </w:r>
      <w:r>
        <w:rPr>
          <w:rFonts w:ascii="Times Roman" w:hAnsi="Times Roman"/>
          <w:sz w:val="24"/>
          <w:szCs w:val="24"/>
          <w:rtl/>
        </w:rPr>
        <w:t>’</w:t>
      </w:r>
      <w:r>
        <w:rPr>
          <w:rFonts w:ascii="Times Roman" w:hAnsi="Times Roman"/>
          <w:sz w:val="24"/>
          <w:szCs w:val="24"/>
        </w:rPr>
        <w:t>agit, mais aussi comment se « négocient », pour le chercheur ou la chercheuse, les différentes places occupées, sur le plan intrapsychique comme sur les plans relationnel, groupal et institutionnel.</w:t>
      </w:r>
    </w:p>
    <w:p w14:paraId="1A1B896C" w14:textId="77777777" w:rsidR="007061B3" w:rsidRDefault="007061B3">
      <w:pPr>
        <w:pStyle w:val="Pardfaut"/>
        <w:suppressAutoHyphens/>
        <w:spacing w:before="0"/>
        <w:jc w:val="both"/>
        <w:rPr>
          <w:rFonts w:ascii="Times Roman" w:eastAsia="Times Roman" w:hAnsi="Times Roman" w:cs="Times Roman"/>
        </w:rPr>
      </w:pPr>
    </w:p>
    <w:p w14:paraId="1A1B896D" w14:textId="39595541" w:rsidR="007061B3" w:rsidRDefault="009808E7">
      <w:pPr>
        <w:pStyle w:val="Pardfaut"/>
        <w:suppressAutoHyphens/>
        <w:spacing w:before="0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lastRenderedPageBreak/>
        <w:t xml:space="preserve">Seront présentés plusieurs éléments issus des deux recherches collectives de l’équipe, </w:t>
      </w:r>
      <w:proofErr w:type="spellStart"/>
      <w:r>
        <w:rPr>
          <w:rFonts w:ascii="Times Roman" w:hAnsi="Times Roman"/>
        </w:rPr>
        <w:t>AtOri</w:t>
      </w:r>
      <w:proofErr w:type="spellEnd"/>
      <w:r w:rsidR="009D526C">
        <w:rPr>
          <w:rFonts w:ascii="Times Roman" w:hAnsi="Times Roman"/>
        </w:rPr>
        <w:t xml:space="preserve"> (projet lauréat du Plan Pluriannuel de recherche « autonomie, vieillissement et handicap »)</w:t>
      </w:r>
      <w:r>
        <w:rPr>
          <w:rFonts w:ascii="Times Roman" w:hAnsi="Times Roman"/>
        </w:rPr>
        <w:t xml:space="preserve"> et « </w:t>
      </w:r>
      <w:r>
        <w:rPr>
          <w:rFonts w:ascii="Times Roman" w:hAnsi="Times Roman"/>
          <w:lang w:val="it-IT"/>
        </w:rPr>
        <w:t>Fragile(s)</w:t>
      </w:r>
      <w:r>
        <w:rPr>
          <w:rFonts w:ascii="Times Roman" w:hAnsi="Times Roman"/>
        </w:rPr>
        <w:t> »</w:t>
      </w:r>
      <w:r w:rsidR="009D526C">
        <w:rPr>
          <w:rStyle w:val="Appelnotedebasdep"/>
          <w:rFonts w:ascii="Times Roman" w:hAnsi="Times Roman" w:hint="eastAsia"/>
        </w:rPr>
        <w:footnoteReference w:id="1"/>
      </w:r>
      <w:r>
        <w:rPr>
          <w:rFonts w:ascii="Times Roman" w:hAnsi="Times Roman"/>
        </w:rPr>
        <w:t>, et notamment le chemin qui a conduit un groupe d</w:t>
      </w:r>
      <w:r>
        <w:rPr>
          <w:rFonts w:ascii="Times Roman" w:hAnsi="Times Roman"/>
          <w:rtl/>
        </w:rPr>
        <w:t>’</w:t>
      </w:r>
      <w:r>
        <w:rPr>
          <w:rFonts w:ascii="Times Roman" w:hAnsi="Times Roman"/>
        </w:rPr>
        <w:t xml:space="preserve">analyse de pratique mené </w:t>
      </w:r>
      <w:r>
        <w:rPr>
          <w:rFonts w:ascii="Times Roman" w:hAnsi="Times Roman"/>
          <w:lang w:val="de-DE"/>
        </w:rPr>
        <w:t xml:space="preserve">par Lise </w:t>
      </w:r>
      <w:proofErr w:type="spellStart"/>
      <w:r>
        <w:rPr>
          <w:rFonts w:ascii="Times Roman" w:hAnsi="Times Roman"/>
          <w:lang w:val="de-DE"/>
        </w:rPr>
        <w:t>Vorgy</w:t>
      </w:r>
      <w:proofErr w:type="spellEnd"/>
      <w:r w:rsidR="009D526C">
        <w:rPr>
          <w:rFonts w:ascii="Times Roman" w:hAnsi="Times Roman"/>
          <w:lang w:val="de-DE"/>
        </w:rPr>
        <w:t xml:space="preserve"> (</w:t>
      </w:r>
      <w:proofErr w:type="spellStart"/>
      <w:r w:rsidR="009D526C">
        <w:rPr>
          <w:rFonts w:ascii="Times Roman" w:hAnsi="Times Roman"/>
          <w:lang w:val="de-DE"/>
        </w:rPr>
        <w:t>intervenante-chercheuse</w:t>
      </w:r>
      <w:proofErr w:type="spellEnd"/>
      <w:r w:rsidR="009D526C">
        <w:rPr>
          <w:rFonts w:ascii="Times Roman" w:hAnsi="Times Roman"/>
          <w:lang w:val="de-DE"/>
        </w:rPr>
        <w:t xml:space="preserve"> </w:t>
      </w:r>
      <w:proofErr w:type="spellStart"/>
      <w:r w:rsidR="009D526C">
        <w:rPr>
          <w:rFonts w:ascii="Times Roman" w:hAnsi="Times Roman"/>
          <w:lang w:val="de-DE"/>
        </w:rPr>
        <w:t>dans</w:t>
      </w:r>
      <w:proofErr w:type="spellEnd"/>
      <w:r w:rsidR="009D526C">
        <w:rPr>
          <w:rFonts w:ascii="Times Roman" w:hAnsi="Times Roman"/>
          <w:lang w:val="de-DE"/>
        </w:rPr>
        <w:t xml:space="preserve"> le </w:t>
      </w:r>
      <w:proofErr w:type="spellStart"/>
      <w:r w:rsidR="009D526C">
        <w:rPr>
          <w:rFonts w:ascii="Times Roman" w:hAnsi="Times Roman"/>
          <w:lang w:val="de-DE"/>
        </w:rPr>
        <w:t>cadre</w:t>
      </w:r>
      <w:proofErr w:type="spellEnd"/>
      <w:r w:rsidR="009D526C">
        <w:rPr>
          <w:rFonts w:ascii="Times Roman" w:hAnsi="Times Roman"/>
          <w:lang w:val="de-DE"/>
        </w:rPr>
        <w:t xml:space="preserve"> de la </w:t>
      </w:r>
      <w:proofErr w:type="spellStart"/>
      <w:r w:rsidR="009D526C">
        <w:rPr>
          <w:rFonts w:ascii="Times Roman" w:hAnsi="Times Roman"/>
          <w:lang w:val="de-DE"/>
        </w:rPr>
        <w:t>recherche</w:t>
      </w:r>
      <w:proofErr w:type="spellEnd"/>
      <w:r w:rsidR="009D526C">
        <w:rPr>
          <w:rFonts w:ascii="Times Roman" w:hAnsi="Times Roman"/>
          <w:lang w:val="de-DE"/>
        </w:rPr>
        <w:t xml:space="preserve"> </w:t>
      </w:r>
      <w:proofErr w:type="spellStart"/>
      <w:r w:rsidR="009D526C">
        <w:rPr>
          <w:rFonts w:ascii="Times Roman" w:hAnsi="Times Roman"/>
          <w:lang w:val="de-DE"/>
        </w:rPr>
        <w:t>Atori</w:t>
      </w:r>
      <w:proofErr w:type="spellEnd"/>
      <w:r w:rsidR="009D526C">
        <w:rPr>
          <w:rFonts w:ascii="Times Roman" w:hAnsi="Times Roman"/>
          <w:lang w:val="de-DE"/>
        </w:rPr>
        <w:t>)</w:t>
      </w:r>
      <w:r>
        <w:rPr>
          <w:rFonts w:ascii="Times Roman" w:hAnsi="Times Roman"/>
          <w:lang w:val="de-DE"/>
        </w:rPr>
        <w:t xml:space="preserve"> </w:t>
      </w:r>
      <w:r>
        <w:rPr>
          <w:rFonts w:ascii="Times Roman" w:hAnsi="Times Roman"/>
        </w:rPr>
        <w:t xml:space="preserve">à servir de support à </w:t>
      </w:r>
      <w:r w:rsidRPr="004C7A11">
        <w:rPr>
          <w:rFonts w:ascii="Times Roman" w:hAnsi="Times Roman"/>
        </w:rPr>
        <w:t>un</w:t>
      </w:r>
      <w:r w:rsidR="009D526C">
        <w:rPr>
          <w:rFonts w:ascii="Times Roman" w:hAnsi="Times Roman"/>
        </w:rPr>
        <w:t xml:space="preserve"> moment de théâtre filmé</w:t>
      </w:r>
      <w:r>
        <w:rPr>
          <w:rFonts w:ascii="Times Roman" w:hAnsi="Times Roman"/>
          <w:lang w:val="es-ES_tradnl"/>
        </w:rPr>
        <w:t xml:space="preserve"> con</w:t>
      </w:r>
      <w:proofErr w:type="spellStart"/>
      <w:r>
        <w:rPr>
          <w:rFonts w:ascii="Times Roman" w:hAnsi="Times Roman"/>
        </w:rPr>
        <w:t>çu</w:t>
      </w:r>
      <w:proofErr w:type="spellEnd"/>
      <w:r>
        <w:rPr>
          <w:rFonts w:ascii="Times Roman" w:hAnsi="Times Roman"/>
        </w:rPr>
        <w:t xml:space="preserve"> par Marie Gourion</w:t>
      </w:r>
      <w:r w:rsidR="009D526C">
        <w:rPr>
          <w:rFonts w:ascii="Times Roman" w:hAnsi="Times Roman"/>
        </w:rPr>
        <w:t xml:space="preserve"> (comédienne, metteuse en scène et écrivaine)</w:t>
      </w:r>
      <w:r>
        <w:rPr>
          <w:rFonts w:ascii="Times Roman" w:hAnsi="Times Roman"/>
        </w:rPr>
        <w:t xml:space="preserve">. </w:t>
      </w:r>
    </w:p>
    <w:p w14:paraId="1A1B896F" w14:textId="5A8095F7" w:rsidR="007061B3" w:rsidRDefault="009808E7" w:rsidP="004E20A6">
      <w:pPr>
        <w:pStyle w:val="Pardfaut"/>
        <w:suppressAutoHyphens/>
        <w:spacing w:before="0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Sabrina Blot et Adeline Vallot</w:t>
      </w:r>
      <w:r w:rsidR="009D526C">
        <w:rPr>
          <w:rFonts w:ascii="Times Roman" w:hAnsi="Times Roman"/>
        </w:rPr>
        <w:t>, doctorantes de l’équipe,</w:t>
      </w:r>
      <w:r>
        <w:rPr>
          <w:rFonts w:ascii="Times Roman" w:hAnsi="Times Roman"/>
        </w:rPr>
        <w:t xml:space="preserve"> partiront des questions que pose pour elles le fait de démarrer une recherche doctorale sur leur terrain d</w:t>
      </w:r>
      <w:r>
        <w:rPr>
          <w:rFonts w:ascii="Times Roman" w:hAnsi="Times Roman"/>
          <w:rtl/>
        </w:rPr>
        <w:t>’</w:t>
      </w:r>
      <w:r>
        <w:rPr>
          <w:rFonts w:ascii="Times Roman" w:hAnsi="Times Roman"/>
        </w:rPr>
        <w:t>exercice professionnel.</w:t>
      </w:r>
    </w:p>
    <w:p w14:paraId="1A1B8970" w14:textId="48B6E101" w:rsidR="007061B3" w:rsidRDefault="009808E7">
      <w:pPr>
        <w:pStyle w:val="Pardfaut"/>
        <w:suppressAutoHyphens/>
        <w:spacing w:before="0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Christophe </w:t>
      </w:r>
      <w:proofErr w:type="spellStart"/>
      <w:r>
        <w:rPr>
          <w:rFonts w:ascii="Times Roman" w:hAnsi="Times Roman"/>
        </w:rPr>
        <w:t>Bittolo</w:t>
      </w:r>
      <w:proofErr w:type="spellEnd"/>
      <w:r>
        <w:rPr>
          <w:rFonts w:ascii="Times Roman" w:hAnsi="Times Roman"/>
        </w:rPr>
        <w:t xml:space="preserve"> nous présentera la notion </w:t>
      </w:r>
      <w:proofErr w:type="gramStart"/>
      <w:r>
        <w:rPr>
          <w:rFonts w:ascii="Times Roman" w:hAnsi="Times Roman"/>
        </w:rPr>
        <w:t>d’ «</w:t>
      </w:r>
      <w:proofErr w:type="gramEnd"/>
      <w:r>
        <w:rPr>
          <w:rFonts w:ascii="Times Roman" w:hAnsi="Times Roman"/>
        </w:rPr>
        <w:t> </w:t>
      </w:r>
      <w:r>
        <w:rPr>
          <w:rFonts w:ascii="Times Roman" w:hAnsi="Times Roman"/>
          <w:lang w:val="pt-PT"/>
        </w:rPr>
        <w:t>embo</w:t>
      </w:r>
      <w:proofErr w:type="spellStart"/>
      <w:r>
        <w:rPr>
          <w:rFonts w:ascii="Times Roman" w:hAnsi="Times Roman"/>
        </w:rPr>
        <w:t>îtements</w:t>
      </w:r>
      <w:proofErr w:type="spellEnd"/>
      <w:r>
        <w:rPr>
          <w:rFonts w:ascii="Times Roman" w:hAnsi="Times Roman"/>
          <w:lang w:val="it-IT"/>
        </w:rPr>
        <w:t> »</w:t>
      </w:r>
      <w:r w:rsidR="009D526C">
        <w:rPr>
          <w:rFonts w:ascii="Times Roman" w:hAnsi="Times Roman"/>
          <w:lang w:val="it-IT"/>
        </w:rPr>
        <w:t xml:space="preserve"> qu’il a développée </w:t>
      </w:r>
      <w:r w:rsidR="00AC483B">
        <w:rPr>
          <w:rFonts w:ascii="Times Roman" w:hAnsi="Times Roman"/>
          <w:lang w:val="it-IT"/>
        </w:rPr>
        <w:t xml:space="preserve">notamment dans </w:t>
      </w:r>
      <w:r>
        <w:rPr>
          <w:rFonts w:ascii="Times Roman" w:hAnsi="Times Roman"/>
        </w:rPr>
        <w:t xml:space="preserve"> le </w:t>
      </w:r>
      <w:r>
        <w:rPr>
          <w:rStyle w:val="Aucun"/>
          <w:rFonts w:ascii="Times Roman" w:hAnsi="Times Roman"/>
          <w:i/>
          <w:iCs/>
        </w:rPr>
        <w:t>Vocabulaire d</w:t>
      </w:r>
      <w:r>
        <w:rPr>
          <w:rStyle w:val="Aucun"/>
          <w:rFonts w:ascii="Times Roman" w:hAnsi="Times Roman"/>
          <w:i/>
          <w:iCs/>
          <w:rtl/>
        </w:rPr>
        <w:t>’</w:t>
      </w:r>
      <w:r>
        <w:rPr>
          <w:rStyle w:val="Aucun"/>
          <w:rFonts w:ascii="Times Roman" w:hAnsi="Times Roman"/>
          <w:i/>
          <w:iCs/>
        </w:rPr>
        <w:t xml:space="preserve">analyse de groupe </w:t>
      </w:r>
      <w:r>
        <w:rPr>
          <w:rFonts w:ascii="Times Roman" w:hAnsi="Times Roman"/>
        </w:rPr>
        <w:t>récemment paru</w:t>
      </w:r>
      <w:r w:rsidR="009D526C">
        <w:rPr>
          <w:rFonts w:ascii="Times Roman" w:hAnsi="Times Roman"/>
        </w:rPr>
        <w:t xml:space="preserve"> chez </w:t>
      </w:r>
      <w:proofErr w:type="spellStart"/>
      <w:r w:rsidR="009D526C">
        <w:rPr>
          <w:rFonts w:ascii="Times Roman" w:hAnsi="Times Roman"/>
        </w:rPr>
        <w:t>Erès</w:t>
      </w:r>
      <w:proofErr w:type="spellEnd"/>
      <w:r>
        <w:rPr>
          <w:rFonts w:ascii="Times Roman" w:hAnsi="Times Roman"/>
        </w:rPr>
        <w:t>.</w:t>
      </w:r>
    </w:p>
    <w:p w14:paraId="1A1B8971" w14:textId="58B7B798" w:rsidR="007061B3" w:rsidRDefault="009808E7">
      <w:pPr>
        <w:pStyle w:val="Pardfaut"/>
        <w:suppressAutoHyphens/>
        <w:spacing w:before="0"/>
        <w:jc w:val="both"/>
        <w:rPr>
          <w:rFonts w:ascii="Times Roman" w:hAnsi="Times Roman" w:hint="eastAsia"/>
        </w:rPr>
      </w:pPr>
      <w:r>
        <w:rPr>
          <w:rFonts w:ascii="Times Roman" w:hAnsi="Times Roman"/>
        </w:rPr>
        <w:t xml:space="preserve">Stéphane </w:t>
      </w:r>
      <w:proofErr w:type="spellStart"/>
      <w:r>
        <w:rPr>
          <w:rFonts w:ascii="Times Roman" w:hAnsi="Times Roman"/>
        </w:rPr>
        <w:t>Zygart</w:t>
      </w:r>
      <w:proofErr w:type="spellEnd"/>
      <w:r w:rsidR="009D526C">
        <w:rPr>
          <w:rFonts w:ascii="Times Roman" w:hAnsi="Times Roman"/>
        </w:rPr>
        <w:t>, docteure en philosophie, chercheure dans le cadre d’un autre des projets lauréats du PPR « autonomie »,</w:t>
      </w:r>
      <w:r>
        <w:rPr>
          <w:rFonts w:ascii="Times Roman" w:hAnsi="Times Roman"/>
        </w:rPr>
        <w:t xml:space="preserve"> interviendra à partir de sa place de philosophe </w:t>
      </w:r>
      <w:r w:rsidR="009D526C">
        <w:rPr>
          <w:rFonts w:ascii="Times Roman" w:hAnsi="Times Roman"/>
        </w:rPr>
        <w:t>travaillant</w:t>
      </w:r>
      <w:r>
        <w:rPr>
          <w:rFonts w:ascii="Times Roman" w:hAnsi="Times Roman"/>
        </w:rPr>
        <w:t xml:space="preserve"> sur la problématique du handicap </w:t>
      </w:r>
      <w:r w:rsidR="009D526C">
        <w:rPr>
          <w:rFonts w:ascii="Times Roman" w:hAnsi="Times Roman"/>
        </w:rPr>
        <w:t>en présentant sa</w:t>
      </w:r>
      <w:r>
        <w:rPr>
          <w:rFonts w:ascii="Times Roman" w:hAnsi="Times Roman"/>
        </w:rPr>
        <w:t xml:space="preserve"> compréhension de l’articulation des postures de chercheur au travail et de sujet concerné.</w:t>
      </w:r>
    </w:p>
    <w:p w14:paraId="18E37EC2" w14:textId="77777777" w:rsidR="004E20A6" w:rsidRDefault="004E20A6">
      <w:pPr>
        <w:pStyle w:val="Pardfaut"/>
        <w:suppressAutoHyphens/>
        <w:spacing w:before="0"/>
        <w:jc w:val="both"/>
        <w:rPr>
          <w:rFonts w:ascii="Times Roman" w:eastAsia="Times Roman" w:hAnsi="Times Roman" w:cs="Times Roman"/>
        </w:rPr>
      </w:pPr>
    </w:p>
    <w:p w14:paraId="1A1B8972" w14:textId="77777777" w:rsidR="007061B3" w:rsidRPr="004E20A6" w:rsidRDefault="009808E7">
      <w:pPr>
        <w:pStyle w:val="Pardfaut"/>
        <w:suppressAutoHyphens/>
        <w:spacing w:before="0"/>
        <w:jc w:val="both"/>
        <w:rPr>
          <w:rFonts w:ascii="Times Roman" w:eastAsia="Times Roman" w:hAnsi="Times Roman" w:cs="Times Roman"/>
          <w:i/>
          <w:iCs/>
        </w:rPr>
      </w:pPr>
      <w:r w:rsidRPr="004E20A6">
        <w:rPr>
          <w:rFonts w:ascii="Times Roman" w:hAnsi="Times Roman"/>
          <w:i/>
          <w:iCs/>
          <w:lang w:val="it-IT"/>
        </w:rPr>
        <w:t>Un te</w:t>
      </w:r>
      <w:proofErr w:type="spellStart"/>
      <w:r w:rsidRPr="004E20A6">
        <w:rPr>
          <w:rFonts w:ascii="Times Roman" w:hAnsi="Times Roman"/>
          <w:i/>
          <w:iCs/>
        </w:rPr>
        <w:t>mps</w:t>
      </w:r>
      <w:proofErr w:type="spellEnd"/>
      <w:r w:rsidRPr="004E20A6">
        <w:rPr>
          <w:rFonts w:ascii="Times Roman" w:hAnsi="Times Roman"/>
          <w:i/>
          <w:iCs/>
          <w:lang w:val="it-IT"/>
        </w:rPr>
        <w:t xml:space="preserve"> sera consacr</w:t>
      </w:r>
      <w:r w:rsidRPr="004E20A6">
        <w:rPr>
          <w:rFonts w:ascii="Times Roman" w:hAnsi="Times Roman"/>
          <w:i/>
          <w:iCs/>
        </w:rPr>
        <w:t xml:space="preserve">é à ce que </w:t>
      </w:r>
      <w:proofErr w:type="spellStart"/>
      <w:r w:rsidRPr="004E20A6">
        <w:rPr>
          <w:rFonts w:ascii="Times Roman" w:hAnsi="Times Roman"/>
          <w:i/>
          <w:iCs/>
        </w:rPr>
        <w:t>chacun.e</w:t>
      </w:r>
      <w:proofErr w:type="spellEnd"/>
      <w:r w:rsidRPr="004E20A6">
        <w:rPr>
          <w:rFonts w:ascii="Times Roman" w:hAnsi="Times Roman"/>
          <w:i/>
          <w:iCs/>
        </w:rPr>
        <w:t xml:space="preserve"> puisse faire résonner ces questions pour lui/</w:t>
      </w:r>
      <w:proofErr w:type="spellStart"/>
      <w:r w:rsidRPr="004E20A6">
        <w:rPr>
          <w:rFonts w:ascii="Times Roman" w:hAnsi="Times Roman"/>
          <w:i/>
          <w:iCs/>
        </w:rPr>
        <w:t>elle-mê</w:t>
      </w:r>
      <w:proofErr w:type="spellEnd"/>
      <w:r w:rsidRPr="004E20A6">
        <w:rPr>
          <w:rFonts w:ascii="Times Roman" w:hAnsi="Times Roman"/>
          <w:i/>
          <w:iCs/>
          <w:lang w:val="it-IT"/>
        </w:rPr>
        <w:t>me.</w:t>
      </w:r>
    </w:p>
    <w:p w14:paraId="1A1B8973" w14:textId="77777777" w:rsidR="007061B3" w:rsidRDefault="009808E7">
      <w:pPr>
        <w:pStyle w:val="Pardfaut"/>
        <w:suppressAutoHyphens/>
        <w:spacing w:before="0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1A1B8974" w14:textId="77777777" w:rsidR="007061B3" w:rsidRDefault="009808E7">
      <w:pPr>
        <w:pStyle w:val="Corps"/>
        <w:jc w:val="both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>Pas d’inscription préalable, les étudiants valideront leur présence sur place.</w:t>
      </w:r>
    </w:p>
    <w:p w14:paraId="1A1B8975" w14:textId="77777777" w:rsidR="007061B3" w:rsidRDefault="007061B3">
      <w:pPr>
        <w:pStyle w:val="Corps"/>
        <w:jc w:val="both"/>
        <w:rPr>
          <w:rFonts w:ascii="Times Roman" w:eastAsia="Times Roman" w:hAnsi="Times Roman" w:cs="Times Roman"/>
          <w:b/>
          <w:bCs/>
          <w:sz w:val="24"/>
          <w:szCs w:val="24"/>
        </w:rPr>
      </w:pPr>
    </w:p>
    <w:p w14:paraId="1A1B8976" w14:textId="77777777" w:rsidR="007061B3" w:rsidRDefault="009808E7">
      <w:pPr>
        <w:pStyle w:val="Corps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Bibliographie indicative :</w:t>
      </w:r>
    </w:p>
    <w:p w14:paraId="1A1B8977" w14:textId="77777777" w:rsidR="007061B3" w:rsidRDefault="009808E7">
      <w:pPr>
        <w:pStyle w:val="Pardfaut"/>
        <w:suppressAutoHyphens/>
        <w:spacing w:before="0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it-IT"/>
        </w:rPr>
        <w:t xml:space="preserve">Bittolo, C., Corre, C., Riand, R., &amp; Robert, P. (2025). </w:t>
      </w:r>
      <w:r>
        <w:rPr>
          <w:rStyle w:val="Aucun"/>
          <w:rFonts w:ascii="Times Roman" w:hAnsi="Times Roman"/>
          <w:i/>
          <w:iCs/>
        </w:rPr>
        <w:t>Vocabulaire clinique de l</w:t>
      </w:r>
      <w:r>
        <w:rPr>
          <w:rStyle w:val="Aucun"/>
          <w:rFonts w:ascii="Times Roman" w:hAnsi="Times Roman"/>
          <w:i/>
          <w:iCs/>
          <w:rtl/>
        </w:rPr>
        <w:t>’</w:t>
      </w:r>
      <w:r>
        <w:rPr>
          <w:rStyle w:val="Aucun"/>
          <w:rFonts w:ascii="Times Roman" w:hAnsi="Times Roman"/>
          <w:i/>
          <w:iCs/>
        </w:rPr>
        <w:t>analyse de groupe</w:t>
      </w:r>
      <w:r>
        <w:rPr>
          <w:rFonts w:ascii="Times Roman" w:hAnsi="Times Roman"/>
        </w:rPr>
        <w:t xml:space="preserve">. </w:t>
      </w:r>
      <w:proofErr w:type="spellStart"/>
      <w:proofErr w:type="gramStart"/>
      <w:r>
        <w:rPr>
          <w:rFonts w:ascii="Times Roman" w:hAnsi="Times Roman"/>
        </w:rPr>
        <w:t>ér</w:t>
      </w:r>
      <w:proofErr w:type="spellEnd"/>
      <w:r>
        <w:rPr>
          <w:rFonts w:ascii="Times Roman" w:hAnsi="Times Roman"/>
          <w:lang w:val="it-IT"/>
        </w:rPr>
        <w:t>è</w:t>
      </w:r>
      <w:r>
        <w:rPr>
          <w:rFonts w:ascii="Times Roman" w:hAnsi="Times Roman"/>
          <w:lang w:val="pt-PT"/>
        </w:rPr>
        <w:t>s</w:t>
      </w:r>
      <w:proofErr w:type="gramEnd"/>
      <w:r>
        <w:rPr>
          <w:rFonts w:ascii="Times Roman" w:hAnsi="Times Roman"/>
          <w:lang w:val="pt-PT"/>
        </w:rPr>
        <w:t xml:space="preserve">. </w:t>
      </w:r>
      <w:r w:rsidR="00527582">
        <w:fldChar w:fldCharType="begin"/>
      </w:r>
      <w:r w:rsidR="00527582">
        <w:instrText xml:space="preserve"> HYPERLINK "https://shs.cairn.info/vocabulaire-clinique-de-l-analyse-de-groupe--9782749282213" </w:instrText>
      </w:r>
      <w:r w:rsidR="00527582">
        <w:fldChar w:fldCharType="separate"/>
      </w:r>
      <w:r>
        <w:rPr>
          <w:rStyle w:val="Hyperlink0"/>
          <w:rFonts w:ascii="Times Roman" w:hAnsi="Times Roman"/>
        </w:rPr>
        <w:t>https://shs.cairn.info/vocabulaire-clinique-de-l-analyse-de-groupe--9782749282213</w:t>
      </w:r>
      <w:r w:rsidR="00527582">
        <w:rPr>
          <w:rStyle w:val="Hyperlink0"/>
          <w:rFonts w:ascii="Times Roman" w:hAnsi="Times Roman"/>
        </w:rPr>
        <w:fldChar w:fldCharType="end"/>
      </w:r>
    </w:p>
    <w:p w14:paraId="1A1B8978" w14:textId="77777777" w:rsidR="007061B3" w:rsidRDefault="009808E7">
      <w:pPr>
        <w:pStyle w:val="Pardfaut"/>
        <w:suppressAutoHyphens/>
        <w:spacing w:before="0"/>
        <w:rPr>
          <w:rStyle w:val="Aucun"/>
          <w:rFonts w:ascii="Times Roman" w:eastAsia="Times Roman" w:hAnsi="Times Roman" w:cs="Times Roman"/>
        </w:rPr>
      </w:pPr>
      <w:r>
        <w:rPr>
          <w:rStyle w:val="Aucun"/>
          <w:rFonts w:ascii="Times Roman" w:hAnsi="Times Roman"/>
        </w:rPr>
        <w:t xml:space="preserve">Bion, W. R. (avec Robert, F.). (1982). </w:t>
      </w:r>
      <w:r>
        <w:rPr>
          <w:rFonts w:ascii="Times Roman" w:hAnsi="Times Roman"/>
          <w:i/>
          <w:iCs/>
        </w:rPr>
        <w:t>Transformations</w:t>
      </w:r>
      <w:r>
        <w:rPr>
          <w:rFonts w:ascii="Arial Unicode MS" w:hAnsi="Arial Unicode MS"/>
        </w:rPr>
        <w:t> </w:t>
      </w:r>
      <w:r>
        <w:rPr>
          <w:rFonts w:ascii="Times Roman" w:hAnsi="Times Roman"/>
          <w:i/>
          <w:iCs/>
        </w:rPr>
        <w:t>: Passage de l</w:t>
      </w:r>
      <w:r>
        <w:rPr>
          <w:rFonts w:ascii="Times Roman" w:hAnsi="Times Roman"/>
          <w:i/>
          <w:iCs/>
          <w:rtl/>
        </w:rPr>
        <w:t>’</w:t>
      </w:r>
      <w:r>
        <w:rPr>
          <w:rFonts w:ascii="Times Roman" w:hAnsi="Times Roman"/>
          <w:i/>
          <w:iCs/>
        </w:rPr>
        <w:t>apprentissage à la croissance</w:t>
      </w:r>
      <w:r>
        <w:rPr>
          <w:rStyle w:val="Aucun"/>
          <w:rFonts w:ascii="Times Roman" w:hAnsi="Times Roman"/>
        </w:rPr>
        <w:t>. Presses universitaires de France.</w:t>
      </w:r>
    </w:p>
    <w:p w14:paraId="1A1B8979" w14:textId="77777777" w:rsidR="007061B3" w:rsidRDefault="009808E7">
      <w:pPr>
        <w:pStyle w:val="Pardfaut"/>
        <w:suppressAutoHyphens/>
        <w:spacing w:before="0"/>
        <w:rPr>
          <w:rStyle w:val="Aucun"/>
          <w:rFonts w:ascii="Times Roman" w:eastAsia="Times Roman" w:hAnsi="Times Roman" w:cs="Times Roman"/>
        </w:rPr>
      </w:pPr>
      <w:r>
        <w:rPr>
          <w:rStyle w:val="Aucun"/>
          <w:rFonts w:ascii="Times Roman" w:hAnsi="Times Roman"/>
        </w:rPr>
        <w:t xml:space="preserve">Bion, W. R. (avec </w:t>
      </w:r>
      <w:proofErr w:type="spellStart"/>
      <w:r>
        <w:rPr>
          <w:rStyle w:val="Aucun"/>
          <w:rFonts w:ascii="Times Roman" w:hAnsi="Times Roman"/>
        </w:rPr>
        <w:t>Kalmanovitch</w:t>
      </w:r>
      <w:proofErr w:type="spellEnd"/>
      <w:r>
        <w:rPr>
          <w:rStyle w:val="Aucun"/>
          <w:rFonts w:ascii="Times Roman" w:hAnsi="Times Roman"/>
        </w:rPr>
        <w:t xml:space="preserve">, J.). (1974). </w:t>
      </w:r>
      <w:r>
        <w:rPr>
          <w:rFonts w:ascii="Times Roman" w:hAnsi="Times Roman"/>
          <w:i/>
          <w:iCs/>
        </w:rPr>
        <w:t>L</w:t>
      </w:r>
      <w:r>
        <w:rPr>
          <w:rFonts w:ascii="Times Roman" w:hAnsi="Times Roman"/>
          <w:i/>
          <w:iCs/>
          <w:rtl/>
        </w:rPr>
        <w:t>’</w:t>
      </w:r>
      <w:r>
        <w:rPr>
          <w:rFonts w:ascii="Times Roman" w:hAnsi="Times Roman"/>
          <w:i/>
          <w:iCs/>
        </w:rPr>
        <w:t>Attention et l</w:t>
      </w:r>
      <w:r>
        <w:rPr>
          <w:rFonts w:ascii="Times Roman" w:hAnsi="Times Roman"/>
          <w:i/>
          <w:iCs/>
          <w:rtl/>
        </w:rPr>
        <w:t>’</w:t>
      </w:r>
      <w:r>
        <w:rPr>
          <w:rFonts w:ascii="Times Roman" w:hAnsi="Times Roman"/>
          <w:i/>
          <w:iCs/>
        </w:rPr>
        <w:t>interprétation</w:t>
      </w:r>
      <w:r>
        <w:rPr>
          <w:rFonts w:ascii="Arial Unicode MS" w:hAnsi="Arial Unicode MS"/>
        </w:rPr>
        <w:t> </w:t>
      </w:r>
      <w:r>
        <w:rPr>
          <w:rFonts w:ascii="Times Roman" w:hAnsi="Times Roman"/>
          <w:i/>
          <w:iCs/>
        </w:rPr>
        <w:t>: Une approche scientifique de la compréhension intuitive en psychanalyse et dans les groupes</w:t>
      </w:r>
      <w:r>
        <w:rPr>
          <w:rStyle w:val="Aucun"/>
          <w:rFonts w:ascii="Times Roman" w:hAnsi="Times Roman"/>
        </w:rPr>
        <w:t>. Payot.</w:t>
      </w:r>
    </w:p>
    <w:p w14:paraId="1A1B897A" w14:textId="77777777" w:rsidR="007061B3" w:rsidRDefault="009808E7">
      <w:pPr>
        <w:pStyle w:val="Pardfaut"/>
        <w:suppressAutoHyphens/>
        <w:spacing w:before="0"/>
      </w:pPr>
      <w:r>
        <w:rPr>
          <w:rStyle w:val="Aucun"/>
          <w:rFonts w:ascii="Times Roman" w:hAnsi="Times Roman"/>
        </w:rPr>
        <w:t xml:space="preserve">Devereux, G. (avec La Barre, W.). (1994). </w:t>
      </w:r>
      <w:r>
        <w:rPr>
          <w:rFonts w:ascii="Times Roman" w:hAnsi="Times Roman"/>
          <w:i/>
          <w:iCs/>
          <w:lang w:val="nl-NL"/>
        </w:rPr>
        <w:t>De l</w:t>
      </w:r>
      <w:r>
        <w:rPr>
          <w:rFonts w:ascii="Times Roman" w:hAnsi="Times Roman"/>
          <w:i/>
          <w:iCs/>
          <w:rtl/>
        </w:rPr>
        <w:t>’</w:t>
      </w:r>
      <w:r>
        <w:rPr>
          <w:rFonts w:ascii="Times Roman" w:hAnsi="Times Roman"/>
          <w:i/>
          <w:iCs/>
        </w:rPr>
        <w:t xml:space="preserve">angoisse à la méthode </w:t>
      </w:r>
      <w:proofErr w:type="gramStart"/>
      <w:r>
        <w:rPr>
          <w:rFonts w:ascii="Times Roman" w:hAnsi="Times Roman"/>
          <w:i/>
          <w:iCs/>
        </w:rPr>
        <w:t>dans les</w:t>
      </w:r>
      <w:proofErr w:type="gramEnd"/>
      <w:r>
        <w:rPr>
          <w:rFonts w:ascii="Times Roman" w:hAnsi="Times Roman"/>
          <w:i/>
          <w:iCs/>
        </w:rPr>
        <w:t xml:space="preserve"> sciences du comportement</w:t>
      </w:r>
      <w:r>
        <w:rPr>
          <w:rStyle w:val="Aucun"/>
          <w:rFonts w:ascii="Times Roman" w:hAnsi="Times Roman"/>
          <w:lang w:val="es-ES_tradnl"/>
        </w:rPr>
        <w:t xml:space="preserve"> (H. </w:t>
      </w:r>
      <w:proofErr w:type="spellStart"/>
      <w:r>
        <w:rPr>
          <w:rStyle w:val="Aucun"/>
          <w:rFonts w:ascii="Times Roman" w:hAnsi="Times Roman"/>
          <w:lang w:val="es-ES_tradnl"/>
        </w:rPr>
        <w:t>Sinaceur</w:t>
      </w:r>
      <w:proofErr w:type="spellEnd"/>
      <w:r>
        <w:rPr>
          <w:rStyle w:val="Aucun"/>
          <w:rFonts w:ascii="Times Roman" w:hAnsi="Times Roman"/>
          <w:lang w:val="es-ES_tradnl"/>
        </w:rPr>
        <w:t xml:space="preserve">, Trad.). </w:t>
      </w:r>
      <w:proofErr w:type="spellStart"/>
      <w:r>
        <w:rPr>
          <w:rStyle w:val="Aucun"/>
          <w:rFonts w:ascii="Times Roman" w:hAnsi="Times Roman"/>
          <w:lang w:val="es-ES_tradnl"/>
        </w:rPr>
        <w:t>Aubier</w:t>
      </w:r>
      <w:proofErr w:type="spellEnd"/>
      <w:r>
        <w:rPr>
          <w:rStyle w:val="Aucun"/>
          <w:rFonts w:ascii="Times Roman" w:hAnsi="Times Roman"/>
          <w:lang w:val="es-ES_tradnl"/>
        </w:rPr>
        <w:t>.</w:t>
      </w:r>
    </w:p>
    <w:sectPr w:rsidR="007061B3" w:rsidSect="00C954BC">
      <w:headerReference w:type="default" r:id="rId7"/>
      <w:pgSz w:w="11906" w:h="16838"/>
      <w:pgMar w:top="2760" w:right="1134" w:bottom="1134" w:left="1134" w:header="61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8981" w14:textId="77777777" w:rsidR="009808E7" w:rsidRDefault="009808E7">
      <w:r>
        <w:separator/>
      </w:r>
    </w:p>
  </w:endnote>
  <w:endnote w:type="continuationSeparator" w:id="0">
    <w:p w14:paraId="1A1B8983" w14:textId="77777777" w:rsidR="009808E7" w:rsidRDefault="0098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897D" w14:textId="77777777" w:rsidR="009808E7" w:rsidRDefault="009808E7">
      <w:r>
        <w:separator/>
      </w:r>
    </w:p>
  </w:footnote>
  <w:footnote w:type="continuationSeparator" w:id="0">
    <w:p w14:paraId="1A1B897F" w14:textId="77777777" w:rsidR="009808E7" w:rsidRDefault="009808E7">
      <w:r>
        <w:continuationSeparator/>
      </w:r>
    </w:p>
  </w:footnote>
  <w:footnote w:id="1">
    <w:p w14:paraId="3D59DEAC" w14:textId="726FA328" w:rsidR="009D526C" w:rsidRDefault="009D526C" w:rsidP="009D526C">
      <w:pPr>
        <w:rPr>
          <w:sz w:val="22"/>
          <w:szCs w:val="22"/>
          <w:lang w:val="fr-FR" w:eastAsia="fr-FR"/>
        </w:rPr>
      </w:pPr>
      <w:r>
        <w:rPr>
          <w:rStyle w:val="Appelnotedebasdep"/>
        </w:rPr>
        <w:footnoteRef/>
      </w:r>
      <w:r w:rsidRPr="00527582">
        <w:rPr>
          <w:lang w:val="fr-FR"/>
        </w:rPr>
        <w:t xml:space="preserve"> Voir </w:t>
      </w:r>
      <w:r w:rsidRPr="009D526C">
        <w:rPr>
          <w:lang w:val="fr-FR"/>
        </w:rPr>
        <w:t>présentations</w:t>
      </w:r>
      <w:r w:rsidRPr="00527582">
        <w:rPr>
          <w:lang w:val="fr-FR"/>
        </w:rPr>
        <w:t xml:space="preserve"> de ces recherches s</w:t>
      </w:r>
      <w:r>
        <w:rPr>
          <w:lang w:val="fr-FR"/>
        </w:rPr>
        <w:t xml:space="preserve">ur le site de l’équipe </w:t>
      </w:r>
      <w:hyperlink r:id="rId1" w:history="1">
        <w:r w:rsidRPr="00D469A9">
          <w:rPr>
            <w:rStyle w:val="Lienhypertexte"/>
            <w:lang w:val="fr-FR"/>
          </w:rPr>
          <w:t>https://cliniquedurapportausavoir.org/accueil-equipe-de-recherche/la-recherche-atori/</w:t>
        </w:r>
      </w:hyperlink>
      <w:r>
        <w:rPr>
          <w:lang w:val="fr-FR"/>
        </w:rPr>
        <w:t xml:space="preserve"> et </w:t>
      </w:r>
      <w:r w:rsidRPr="009D526C">
        <w:rPr>
          <w:lang w:val="fr-FR"/>
        </w:rPr>
        <w:t>https://cliniquedurapportausavoir.org/la-recherche-fragiles/</w:t>
      </w:r>
    </w:p>
    <w:p w14:paraId="7C023BA4" w14:textId="3BC0487F" w:rsidR="009D526C" w:rsidRPr="00527582" w:rsidRDefault="009D526C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897B" w14:textId="77777777" w:rsidR="007061B3" w:rsidRDefault="009808E7">
    <w:pPr>
      <w:pStyle w:val="En-tte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1A1B897D" wp14:editId="557184E9">
          <wp:extent cx="2101215" cy="586589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5312" cy="6128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mc:AlternateContent>
        <mc:Choice Requires="wps">
          <w:drawing>
            <wp:inline distT="0" distB="0" distL="0" distR="0" wp14:anchorId="1A1B897F" wp14:editId="0DB636B3">
              <wp:extent cx="1739083" cy="773559"/>
              <wp:effectExtent l="0" t="0" r="13970" b="13970"/>
              <wp:docPr id="1073741826" name="officeArt object" descr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083" cy="7735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A1B8981" w14:textId="77777777" w:rsidR="007061B3" w:rsidRPr="009808E7" w:rsidRDefault="009808E7">
                          <w:pPr>
                            <w:pStyle w:val="Pardfaut"/>
                            <w:tabs>
                              <w:tab w:val="left" w:pos="708"/>
                              <w:tab w:val="left" w:pos="1416"/>
                              <w:tab w:val="left" w:pos="2124"/>
                            </w:tabs>
                            <w:spacing w:before="0"/>
                            <w:jc w:val="center"/>
                            <w:rPr>
                              <w:rStyle w:val="Aucun"/>
                              <w:rFonts w:ascii="Arial" w:eastAsia="Arial" w:hAnsi="Arial" w:cs="Arial"/>
                              <w:caps/>
                              <w:sz w:val="22"/>
                              <w:szCs w:val="22"/>
                              <w:u w:color="000000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9808E7">
                            <w:rPr>
                              <w:rStyle w:val="Aucun"/>
                              <w:rFonts w:ascii="Arial" w:hAnsi="Arial"/>
                              <w:caps/>
                              <w:sz w:val="22"/>
                              <w:szCs w:val="22"/>
                              <w:u w:color="000000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Département </w:t>
                          </w:r>
                        </w:p>
                        <w:p w14:paraId="1A1B8982" w14:textId="77777777" w:rsidR="007061B3" w:rsidRPr="009808E7" w:rsidRDefault="009808E7">
                          <w:pPr>
                            <w:pStyle w:val="Pardfaut"/>
                            <w:tabs>
                              <w:tab w:val="left" w:pos="708"/>
                              <w:tab w:val="left" w:pos="1416"/>
                              <w:tab w:val="left" w:pos="2124"/>
                            </w:tabs>
                            <w:spacing w:before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808E7">
                            <w:rPr>
                              <w:rStyle w:val="Aucun"/>
                              <w:rFonts w:ascii="Arial" w:hAnsi="Arial"/>
                              <w:b/>
                              <w:bCs/>
                              <w:caps/>
                              <w:sz w:val="22"/>
                              <w:szCs w:val="22"/>
                              <w:u w:color="000000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des </w:t>
                          </w:r>
                          <w:proofErr w:type="gramStart"/>
                          <w:r w:rsidRPr="009808E7">
                            <w:rPr>
                              <w:rStyle w:val="Aucun"/>
                              <w:rFonts w:ascii="Arial" w:hAnsi="Arial"/>
                              <w:b/>
                              <w:bCs/>
                              <w:caps/>
                              <w:sz w:val="22"/>
                              <w:szCs w:val="22"/>
                              <w:u w:color="000000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sciences  de</w:t>
                          </w:r>
                          <w:proofErr w:type="gramEnd"/>
                          <w:r w:rsidRPr="009808E7">
                            <w:rPr>
                              <w:rStyle w:val="Aucun"/>
                              <w:rFonts w:ascii="Arial" w:hAnsi="Arial"/>
                              <w:b/>
                              <w:bCs/>
                              <w:caps/>
                              <w:sz w:val="22"/>
                              <w:szCs w:val="22"/>
                              <w:u w:color="000000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l’education et de la FORMATION</w:t>
                          </w:r>
                        </w:p>
                      </w:txbxContent>
                    </wps:txbx>
                    <wps:bodyPr wrap="square" lIns="45718" tIns="45718" rIns="45718" bIns="45718" numCol="1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A1B897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Zone de texte 2" style="width:136.95pt;height:6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">
              <v:textbox inset="1.2699mm,1.2699mm,1.2699mm,1.2699mm">
                <w:txbxContent>
                  <w:p w14:paraId="1A1B8981" w14:textId="77777777" w:rsidR="007061B3" w:rsidRPr="009808E7" w:rsidRDefault="009808E7">
                    <w:pPr>
                      <w:pStyle w:val="Pardfaut"/>
                      <w:tabs>
                        <w:tab w:val="left" w:pos="708"/>
                        <w:tab w:val="left" w:pos="1416"/>
                        <w:tab w:val="left" w:pos="2124"/>
                      </w:tabs>
                      <w:spacing w:before="0"/>
                      <w:jc w:val="center"/>
                      <w:rPr>
                        <w:rStyle w:val="Aucun"/>
                        <w:rFonts w:ascii="Arial" w:eastAsia="Arial" w:hAnsi="Arial" w:cs="Arial"/>
                        <w:caps/>
                        <w:sz w:val="22"/>
                        <w:szCs w:val="22"/>
                        <w:u w:color="000000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</w:pPr>
                    <w:r w:rsidRPr="009808E7">
                      <w:rPr>
                        <w:rStyle w:val="Aucun"/>
                        <w:rFonts w:ascii="Arial" w:hAnsi="Arial"/>
                        <w:caps/>
                        <w:sz w:val="22"/>
                        <w:szCs w:val="22"/>
                        <w:u w:color="000000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Département </w:t>
                    </w:r>
                  </w:p>
                  <w:p w14:paraId="1A1B8982" w14:textId="77777777" w:rsidR="007061B3" w:rsidRPr="009808E7" w:rsidRDefault="009808E7">
                    <w:pPr>
                      <w:pStyle w:val="Pardfaut"/>
                      <w:tabs>
                        <w:tab w:val="left" w:pos="708"/>
                        <w:tab w:val="left" w:pos="1416"/>
                        <w:tab w:val="left" w:pos="2124"/>
                      </w:tabs>
                      <w:spacing w:before="0"/>
                      <w:jc w:val="center"/>
                      <w:rPr>
                        <w:sz w:val="22"/>
                        <w:szCs w:val="22"/>
                      </w:rPr>
                    </w:pPr>
                    <w:r w:rsidRPr="009808E7">
                      <w:rPr>
                        <w:rStyle w:val="Aucun"/>
                        <w:rFonts w:ascii="Arial" w:hAnsi="Arial"/>
                        <w:b/>
                        <w:bCs/>
                        <w:caps/>
                        <w:sz w:val="22"/>
                        <w:szCs w:val="22"/>
                        <w:u w:color="000000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des </w:t>
                    </w:r>
                    <w:proofErr w:type="gramStart"/>
                    <w:r w:rsidRPr="009808E7">
                      <w:rPr>
                        <w:rStyle w:val="Aucun"/>
                        <w:rFonts w:ascii="Arial" w:hAnsi="Arial"/>
                        <w:b/>
                        <w:bCs/>
                        <w:caps/>
                        <w:sz w:val="22"/>
                        <w:szCs w:val="22"/>
                        <w:u w:color="000000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sciences  de</w:t>
                    </w:r>
                    <w:proofErr w:type="gramEnd"/>
                    <w:r w:rsidRPr="009808E7">
                      <w:rPr>
                        <w:rStyle w:val="Aucun"/>
                        <w:rFonts w:ascii="Arial" w:hAnsi="Arial"/>
                        <w:b/>
                        <w:bCs/>
                        <w:caps/>
                        <w:sz w:val="22"/>
                        <w:szCs w:val="22"/>
                        <w:u w:color="000000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l’education et de la FORMATION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B3"/>
    <w:rsid w:val="00037231"/>
    <w:rsid w:val="004C7A11"/>
    <w:rsid w:val="004E20A6"/>
    <w:rsid w:val="00527582"/>
    <w:rsid w:val="007061B3"/>
    <w:rsid w:val="009808E7"/>
    <w:rsid w:val="009D526C"/>
    <w:rsid w:val="00AC483B"/>
    <w:rsid w:val="00C954BC"/>
    <w:rsid w:val="00E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895A"/>
  <w15:docId w15:val="{9DE5D285-62AC-1F4B-AD35-12A6134F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yi-Hebr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ucun"/>
    <w:rPr>
      <w:outline w:val="0"/>
      <w:color w:val="0000EE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C7A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7A11"/>
    <w:rPr>
      <w:sz w:val="24"/>
      <w:szCs w:val="24"/>
      <w:lang w:val="en-US" w:eastAsia="en-US" w:bidi="ar-SA"/>
    </w:rPr>
  </w:style>
  <w:style w:type="paragraph" w:styleId="Rvision">
    <w:name w:val="Revision"/>
    <w:hidden/>
    <w:uiPriority w:val="99"/>
    <w:semiHidden/>
    <w:rsid w:val="009D52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526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526C"/>
    <w:rPr>
      <w:lang w:val="en-US" w:eastAsia="en-US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9D526C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D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liniquedurapportausavoir.org/accueil-equipe-de-recherche/la-recherche-ator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AC31-4B6B-45CC-8C90-25C4F8A8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4030</Characters>
  <Application>Microsoft Office Word</Application>
  <DocSecurity>4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Françoise Hatchuel</cp:lastModifiedBy>
  <cp:revision>2</cp:revision>
  <dcterms:created xsi:type="dcterms:W3CDTF">2025-03-06T13:39:00Z</dcterms:created>
  <dcterms:modified xsi:type="dcterms:W3CDTF">2025-03-06T13:39:00Z</dcterms:modified>
</cp:coreProperties>
</file>